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0" w:rsidRPr="00C67673" w:rsidRDefault="00417E20" w:rsidP="00417E20">
      <w:pPr>
        <w:widowControl/>
        <w:tabs>
          <w:tab w:val="left" w:pos="7185"/>
        </w:tabs>
        <w:spacing w:after="60" w:line="240" w:lineRule="auto"/>
        <w:ind w:left="-634"/>
        <w:outlineLvl w:val="1"/>
        <w:rPr>
          <w:rFonts w:eastAsia="SimSun" w:cs="Times New Roman"/>
          <w:b/>
          <w:noProof/>
        </w:rPr>
      </w:pPr>
    </w:p>
    <w:p w:rsidR="00E254AD" w:rsidRDefault="00E254AD" w:rsidP="00E254A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t>Mandatory Peer Review Program – Generic Review Report Form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3689"/>
        <w:gridCol w:w="1901"/>
        <w:gridCol w:w="1836"/>
      </w:tblGrid>
      <w:tr w:rsidR="00E254AD" w:rsidTr="001E667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Part I:    General Information</w:t>
            </w:r>
          </w:p>
        </w:tc>
      </w:tr>
      <w:tr w:rsidR="00E254AD" w:rsidTr="001E6671">
        <w:trPr>
          <w:trHeight w:val="537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Reviewer 1</w:t>
            </w:r>
          </w:p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(Chair)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54AD" w:rsidTr="001E667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Name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Signature</w:t>
            </w:r>
          </w:p>
        </w:tc>
      </w:tr>
      <w:tr w:rsidR="00E254AD" w:rsidTr="001E6671">
        <w:trPr>
          <w:trHeight w:val="537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Reviewer 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54AD" w:rsidTr="001E667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Name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Signature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54AD" w:rsidTr="001E6671">
        <w:trPr>
          <w:trHeight w:val="537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Reviewer 3</w:t>
            </w:r>
          </w:p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(Optional)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54AD" w:rsidTr="001E667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Name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Signature</w:t>
            </w:r>
          </w:p>
        </w:tc>
      </w:tr>
      <w:tr w:rsidR="00E254AD" w:rsidTr="001E6671">
        <w:trPr>
          <w:trHeight w:val="537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Researcher’s Name: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54AD" w:rsidTr="001E667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Name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Signature</w:t>
            </w:r>
          </w:p>
        </w:tc>
      </w:tr>
      <w:tr w:rsidR="00E254AD" w:rsidTr="001E6671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Study Title: (as written on Grant Application)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54AD" w:rsidTr="001E6671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Full Name of Funding Agency (no abbreviations)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E254AD" w:rsidRDefault="00E254AD" w:rsidP="00464A14">
            <w:pPr>
              <w:rPr>
                <w:rFonts w:ascii="Calibri" w:hAnsi="Calibri" w:cs="Calibri"/>
                <w:color w:val="000000"/>
              </w:rPr>
            </w:pPr>
          </w:p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4AD" w:rsidTr="001E6671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Date of Meeting: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21586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Pr="00907B89" w:rsidRDefault="00E254AD" w:rsidP="00464A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54AD" w:rsidTr="001E667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4AD" w:rsidTr="001E667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Peer Reviewer Guidelines</w:t>
            </w:r>
          </w:p>
        </w:tc>
      </w:tr>
      <w:tr w:rsidR="00E254AD" w:rsidTr="001E667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19E">
              <w:rPr>
                <w:rFonts w:ascii="Calibri" w:hAnsi="Calibri" w:cs="Calibri"/>
                <w:color w:val="000000"/>
              </w:rPr>
              <w:t xml:space="preserve">The reviewers will use five criteria when assessing the grant application.  These </w:t>
            </w:r>
            <w:proofErr w:type="gramStart"/>
            <w:r w:rsidRPr="0050519E">
              <w:rPr>
                <w:rFonts w:ascii="Calibri" w:hAnsi="Calibri" w:cs="Calibri"/>
                <w:color w:val="000000"/>
              </w:rPr>
              <w:t>are:</w:t>
            </w:r>
            <w:proofErr w:type="gramEnd"/>
            <w:r w:rsidRPr="0050519E">
              <w:rPr>
                <w:rFonts w:ascii="Calibri" w:hAnsi="Calibri" w:cs="Calibri"/>
                <w:color w:val="000000"/>
              </w:rPr>
              <w:t xml:space="preserve"> significance, approach, innovation, expertise and environment. Some specific points are to be considered as the following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:rsidR="00E254AD" w:rsidRDefault="00E254AD" w:rsidP="00464A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Academic excellence of the researcher(s)</w:t>
            </w:r>
            <w:r>
              <w:rPr>
                <w:rFonts w:ascii="Calibri" w:hAnsi="Calibri" w:cs="Calibri"/>
                <w:color w:val="000000"/>
              </w:rPr>
              <w:t>– Researchers must demonstrate:</w:t>
            </w:r>
          </w:p>
          <w:p w:rsidR="00E254AD" w:rsidRDefault="00E254AD" w:rsidP="00E254AD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knowledge and expertise; and</w:t>
            </w:r>
          </w:p>
          <w:p w:rsidR="00E254AD" w:rsidRPr="004E515D" w:rsidRDefault="00E254AD" w:rsidP="00E254AD">
            <w:pPr>
              <w:widowControl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>relevant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research experience including peer reviewed publications, presentations and previous research awards or grants. </w:t>
            </w:r>
          </w:p>
          <w:p w:rsidR="00E254AD" w:rsidRDefault="00E254AD" w:rsidP="00464A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Merit of the Proposal – The proposal must show:</w:t>
            </w:r>
          </w:p>
          <w:p w:rsidR="00E254AD" w:rsidRDefault="00E254AD" w:rsidP="00E254AD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state-of-art in the research field;</w:t>
            </w:r>
          </w:p>
          <w:p w:rsidR="00E254AD" w:rsidRDefault="00E254AD" w:rsidP="00E254AD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originality and innovation;</w:t>
            </w:r>
          </w:p>
          <w:p w:rsidR="00E254AD" w:rsidRDefault="00E254AD" w:rsidP="00E254AD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problems, relevance to healthcare;</w:t>
            </w:r>
          </w:p>
          <w:p w:rsidR="00E254AD" w:rsidRDefault="00E254AD" w:rsidP="00E254AD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clarity of goal/hypothesis and scope of objectives;</w:t>
            </w:r>
          </w:p>
          <w:p w:rsidR="00E254AD" w:rsidRDefault="00E254AD" w:rsidP="00E254AD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significance/impact and expected contributions to the field;</w:t>
            </w:r>
          </w:p>
          <w:p w:rsidR="00E254AD" w:rsidRDefault="00E254AD" w:rsidP="00E254AD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clarity and appropriateness of methodology including  potential pitfalls and alternatives; </w:t>
            </w:r>
          </w:p>
          <w:p w:rsidR="00E254AD" w:rsidRDefault="00E254AD" w:rsidP="00E254AD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feasibility</w:t>
            </w:r>
          </w:p>
          <w:p w:rsidR="00E254AD" w:rsidRPr="004E515D" w:rsidRDefault="00E254AD" w:rsidP="00E254AD">
            <w:pPr>
              <w:widowControl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dissemination plan that is appropriate, targeted and adequately resourced.</w:t>
            </w:r>
          </w:p>
          <w:p w:rsidR="00E254AD" w:rsidRDefault="00E254AD" w:rsidP="00464A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Budget - Researchers must show:</w:t>
            </w:r>
          </w:p>
          <w:p w:rsidR="00E254AD" w:rsidRDefault="00E254AD" w:rsidP="00E254AD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appropriateness and justification of the budget; and</w:t>
            </w:r>
          </w:p>
          <w:p w:rsidR="00E254AD" w:rsidRPr="004E515D" w:rsidRDefault="00E254AD" w:rsidP="00E254AD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special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needs related to the project (e.g., collaborative activities or infrastructure costs, such as user fees).</w:t>
            </w:r>
          </w:p>
        </w:tc>
      </w:tr>
      <w:tr w:rsidR="00E254AD" w:rsidTr="001E667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FACE TO FACE MEETING</w:t>
            </w:r>
          </w:p>
        </w:tc>
      </w:tr>
      <w:tr w:rsidR="00E254AD" w:rsidTr="001E667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 The review committee meeting </w:t>
            </w:r>
            <w:proofErr w:type="gramStart"/>
            <w:r>
              <w:rPr>
                <w:rFonts w:ascii="Calibri" w:hAnsi="Calibri" w:cs="Calibri"/>
                <w:color w:val="000000"/>
              </w:rPr>
              <w:t>is convened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week prior to grant agency’s deadline.    If one member cannot attend the </w:t>
            </w:r>
            <w:proofErr w:type="gramStart"/>
            <w:r>
              <w:rPr>
                <w:rFonts w:ascii="Calibri" w:hAnsi="Calibri" w:cs="Calibri"/>
                <w:color w:val="000000"/>
              </w:rPr>
              <w:t>meeting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calling in to the meeting is acceptable.   One member serves as a chair and conducts the meeting with the reviewers.   The researcher introduces the proposal.   Reviewers present their critic, opinions and suggestions. After a general discussion, the Reviewer Report will be completed and given to the investigator.   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The Reviewers must ensure that their track changes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have been submitted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 to the researcher as well.   The researcher is responsible to submit the Reviewer Form as well as the track changes to the IPR at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 xml:space="preserve">PeerReview@unityhealth.to 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254AD" w:rsidTr="001E667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AD" w:rsidRDefault="00E254AD" w:rsidP="00464A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478C7" w:rsidRPr="00417E20" w:rsidRDefault="00F478C7" w:rsidP="001E667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F478C7" w:rsidRPr="00417E20" w:rsidSect="00785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A5" w:rsidRDefault="007850A5" w:rsidP="007850A5">
      <w:pPr>
        <w:spacing w:after="0" w:line="240" w:lineRule="auto"/>
      </w:pPr>
      <w:r>
        <w:separator/>
      </w:r>
    </w:p>
  </w:endnote>
  <w:endnote w:type="continuationSeparator" w:id="0">
    <w:p w:rsidR="007850A5" w:rsidRDefault="007850A5" w:rsidP="0078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88" w:rsidRDefault="00A9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88" w:rsidRDefault="00A72E9E" w:rsidP="00A72E9E">
    <w:pPr>
      <w:pStyle w:val="Footer"/>
      <w:jc w:val="right"/>
    </w:pPr>
    <w:r>
      <w:t>Last Update:  March 24,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88" w:rsidRDefault="00A93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A5" w:rsidRDefault="007850A5" w:rsidP="007850A5">
      <w:pPr>
        <w:spacing w:after="0" w:line="240" w:lineRule="auto"/>
      </w:pPr>
      <w:r>
        <w:separator/>
      </w:r>
    </w:p>
  </w:footnote>
  <w:footnote w:type="continuationSeparator" w:id="0">
    <w:p w:rsidR="007850A5" w:rsidRDefault="007850A5" w:rsidP="0078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88" w:rsidRDefault="00A93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88" w:rsidRDefault="00A93888" w:rsidP="00A93888">
    <w:pPr>
      <w:jc w:val="right"/>
    </w:pPr>
    <w:r>
      <w:rPr>
        <w:rFonts w:ascii="Arial" w:hAnsi="Arial" w:cs="Arial"/>
        <w:sz w:val="18"/>
        <w:szCs w:val="18"/>
      </w:rPr>
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714500" cy="781050"/>
          <wp:effectExtent l="0" t="0" r="0" b="0"/>
          <wp:docPr id="2" name="Picture 2" descr="http://callaway.smh.smhroot.net/web-assets/images/logos/2019/UHT_Logo_Ve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llaway.smh.smhroot.net/web-assets/images/logos/2019/UHT_Logo_Vert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0A5" w:rsidRDefault="007850A5" w:rsidP="007850A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88" w:rsidRDefault="00A93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689"/>
    <w:multiLevelType w:val="multilevel"/>
    <w:tmpl w:val="20C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17230"/>
    <w:multiLevelType w:val="hybridMultilevel"/>
    <w:tmpl w:val="F3DAA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6E0B"/>
    <w:multiLevelType w:val="hybridMultilevel"/>
    <w:tmpl w:val="E47E7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36E0"/>
    <w:multiLevelType w:val="multilevel"/>
    <w:tmpl w:val="B87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1788A"/>
    <w:multiLevelType w:val="hybridMultilevel"/>
    <w:tmpl w:val="3C085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379F9"/>
    <w:multiLevelType w:val="hybridMultilevel"/>
    <w:tmpl w:val="B84E29B0"/>
    <w:lvl w:ilvl="0" w:tplc="C290B5E6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6" w15:restartNumberingAfterBreak="0">
    <w:nsid w:val="72D93BC6"/>
    <w:multiLevelType w:val="multilevel"/>
    <w:tmpl w:val="9EF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20"/>
    <w:rsid w:val="00010380"/>
    <w:rsid w:val="00083D8D"/>
    <w:rsid w:val="00084DFC"/>
    <w:rsid w:val="0012067F"/>
    <w:rsid w:val="001E6671"/>
    <w:rsid w:val="00225D46"/>
    <w:rsid w:val="003C6BEB"/>
    <w:rsid w:val="00417E20"/>
    <w:rsid w:val="00477A69"/>
    <w:rsid w:val="005D064D"/>
    <w:rsid w:val="00605C46"/>
    <w:rsid w:val="007850A5"/>
    <w:rsid w:val="007C69F7"/>
    <w:rsid w:val="00A72E9E"/>
    <w:rsid w:val="00A93888"/>
    <w:rsid w:val="00AA3CF9"/>
    <w:rsid w:val="00CA1F1B"/>
    <w:rsid w:val="00D0208F"/>
    <w:rsid w:val="00D30540"/>
    <w:rsid w:val="00D56240"/>
    <w:rsid w:val="00D945FD"/>
    <w:rsid w:val="00E254AD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2C8EF-E5A8-4C69-8AFE-E73BCE85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5F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17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A5"/>
  </w:style>
  <w:style w:type="paragraph" w:styleId="Footer">
    <w:name w:val="footer"/>
    <w:basedOn w:val="Normal"/>
    <w:link w:val="FooterChar"/>
    <w:uiPriority w:val="99"/>
    <w:unhideWhenUsed/>
    <w:rsid w:val="007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A5"/>
  </w:style>
  <w:style w:type="paragraph" w:styleId="BalloonText">
    <w:name w:val="Balloon Text"/>
    <w:basedOn w:val="Normal"/>
    <w:link w:val="BalloonTextChar"/>
    <w:uiPriority w:val="99"/>
    <w:semiHidden/>
    <w:unhideWhenUsed/>
    <w:rsid w:val="0078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D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erReview@unityhealth.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D45.6F3D5D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Yunjo Lee</dc:creator>
  <cp:lastModifiedBy>Patrick Kasparian</cp:lastModifiedBy>
  <cp:revision>9</cp:revision>
  <dcterms:created xsi:type="dcterms:W3CDTF">2022-03-24T15:49:00Z</dcterms:created>
  <dcterms:modified xsi:type="dcterms:W3CDTF">2023-06-20T13:32:00Z</dcterms:modified>
</cp:coreProperties>
</file>